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0B12" w14:textId="77777777" w:rsidR="001E56E9" w:rsidRDefault="001E56E9" w:rsidP="001E56E9">
      <w:pPr>
        <w:pStyle w:val="NormalnyWeb"/>
        <w:pageBreakBefore/>
        <w:spacing w:before="0" w:beforeAutospacing="0" w:after="0" w:line="360" w:lineRule="auto"/>
      </w:pPr>
      <w:r>
        <w:rPr>
          <w:rFonts w:ascii="Arial" w:hAnsi="Arial" w:cs="Arial"/>
          <w:b/>
          <w:bCs/>
          <w:sz w:val="22"/>
          <w:szCs w:val="22"/>
        </w:rPr>
        <w:t>Uchwała nr 4 z dnia 17 lutego 2025 r.</w:t>
      </w:r>
    </w:p>
    <w:p w14:paraId="0D4C768D" w14:textId="77777777" w:rsidR="001E56E9" w:rsidRDefault="001E56E9" w:rsidP="001E56E9">
      <w:pPr>
        <w:pStyle w:val="NormalnyWeb"/>
        <w:spacing w:before="0" w:beforeAutospacing="0" w:after="0" w:line="360" w:lineRule="auto"/>
      </w:pPr>
      <w:r>
        <w:rPr>
          <w:rFonts w:ascii="Arial" w:hAnsi="Arial" w:cs="Arial"/>
          <w:b/>
          <w:bCs/>
          <w:sz w:val="22"/>
          <w:szCs w:val="22"/>
        </w:rPr>
        <w:t>Zgromadzenia Wspólników</w:t>
      </w:r>
    </w:p>
    <w:p w14:paraId="496CBDDD" w14:textId="77777777" w:rsidR="001E56E9" w:rsidRDefault="001E56E9" w:rsidP="001E56E9">
      <w:pPr>
        <w:pStyle w:val="NormalnyWeb"/>
        <w:spacing w:before="0" w:beforeAutospacing="0" w:after="0" w:line="360" w:lineRule="auto"/>
      </w:pPr>
      <w:r>
        <w:rPr>
          <w:rFonts w:ascii="Arial" w:hAnsi="Arial" w:cs="Arial"/>
          <w:b/>
          <w:bCs/>
          <w:sz w:val="22"/>
          <w:szCs w:val="22"/>
        </w:rPr>
        <w:t>spółki ...</w:t>
      </w:r>
      <w:proofErr w:type="spellStart"/>
      <w:r>
        <w:rPr>
          <w:rFonts w:ascii="Arial" w:hAnsi="Arial" w:cs="Arial"/>
          <w:b/>
          <w:bCs/>
          <w:sz w:val="22"/>
          <w:szCs w:val="22"/>
        </w:rPr>
        <w:t>Domaro</w:t>
      </w:r>
      <w:proofErr w:type="spellEnd"/>
      <w:r>
        <w:rPr>
          <w:rFonts w:ascii="Arial" w:hAnsi="Arial" w:cs="Arial"/>
          <w:b/>
          <w:bCs/>
          <w:sz w:val="22"/>
          <w:szCs w:val="22"/>
        </w:rPr>
        <w:t xml:space="preserve"> sp. z o.o. w Wodzisławiu Śląskim</w:t>
      </w:r>
    </w:p>
    <w:p w14:paraId="6BBC9B6D" w14:textId="77777777" w:rsidR="001E56E9" w:rsidRDefault="001E56E9" w:rsidP="001E56E9">
      <w:pPr>
        <w:pStyle w:val="NormalnyWeb"/>
        <w:spacing w:before="0" w:beforeAutospacing="0" w:after="0" w:line="360" w:lineRule="auto"/>
      </w:pPr>
    </w:p>
    <w:p w14:paraId="3DA3A420" w14:textId="77777777" w:rsidR="001E56E9" w:rsidRDefault="001E56E9" w:rsidP="001E56E9">
      <w:pPr>
        <w:pStyle w:val="NormalnyWeb"/>
        <w:spacing w:before="0" w:beforeAutospacing="0" w:after="0" w:line="360" w:lineRule="auto"/>
      </w:pPr>
      <w:r>
        <w:rPr>
          <w:rFonts w:ascii="Arial" w:hAnsi="Arial" w:cs="Arial"/>
          <w:sz w:val="22"/>
          <w:szCs w:val="22"/>
        </w:rPr>
        <w:t>w sprawie:</w:t>
      </w:r>
      <w:r>
        <w:rPr>
          <w:rFonts w:ascii="Arial" w:hAnsi="Arial" w:cs="Arial"/>
          <w:b/>
          <w:bCs/>
          <w:sz w:val="22"/>
          <w:szCs w:val="22"/>
        </w:rPr>
        <w:t xml:space="preserve"> zasad kształtowania wynagrodzeń członków Zarządu Spółki</w:t>
      </w:r>
    </w:p>
    <w:p w14:paraId="49DC3F75" w14:textId="77777777" w:rsidR="001E56E9" w:rsidRDefault="001E56E9" w:rsidP="001E56E9">
      <w:pPr>
        <w:pStyle w:val="NormalnyWeb"/>
        <w:spacing w:before="0" w:beforeAutospacing="0" w:after="0" w:line="360" w:lineRule="auto"/>
      </w:pPr>
    </w:p>
    <w:p w14:paraId="217B518F" w14:textId="7EC251EF" w:rsidR="001E56E9" w:rsidRDefault="001E56E9" w:rsidP="001E56E9">
      <w:pPr>
        <w:pStyle w:val="NormalnyWeb"/>
        <w:spacing w:before="0" w:beforeAutospacing="0" w:after="0" w:line="360" w:lineRule="auto"/>
      </w:pPr>
      <w:r>
        <w:rPr>
          <w:rFonts w:ascii="Arial" w:hAnsi="Arial" w:cs="Arial"/>
          <w:sz w:val="22"/>
          <w:szCs w:val="22"/>
        </w:rPr>
        <w:t>Na podstawie art. 2 ust. 2 pkt 1, art. 4, art. 5, art. 6 i art. 7 ustawy z dnia 9 czerwca 2016 r. o</w:t>
      </w:r>
      <w:r>
        <w:rPr>
          <w:rFonts w:ascii="Arial" w:hAnsi="Arial" w:cs="Arial"/>
          <w:sz w:val="22"/>
          <w:szCs w:val="22"/>
        </w:rPr>
        <w:t xml:space="preserve"> </w:t>
      </w:r>
      <w:r>
        <w:rPr>
          <w:rFonts w:ascii="Arial" w:hAnsi="Arial" w:cs="Arial"/>
          <w:sz w:val="22"/>
          <w:szCs w:val="22"/>
        </w:rPr>
        <w:t>zasadach kształtowania wynagrodzeń osób kierujących niektórymi spółkami (</w:t>
      </w:r>
      <w:proofErr w:type="spellStart"/>
      <w:r>
        <w:rPr>
          <w:rFonts w:ascii="Arial" w:hAnsi="Arial" w:cs="Arial"/>
          <w:sz w:val="22"/>
          <w:szCs w:val="22"/>
        </w:rPr>
        <w:t>t.j</w:t>
      </w:r>
      <w:proofErr w:type="spellEnd"/>
      <w:r>
        <w:rPr>
          <w:rFonts w:ascii="Arial" w:hAnsi="Arial" w:cs="Arial"/>
          <w:sz w:val="22"/>
          <w:szCs w:val="22"/>
        </w:rPr>
        <w:t>. Dz. U. 2020 poz. 1907 z</w:t>
      </w:r>
      <w:r>
        <w:rPr>
          <w:rFonts w:ascii="Arial" w:hAnsi="Arial" w:cs="Arial"/>
          <w:sz w:val="22"/>
          <w:szCs w:val="22"/>
        </w:rPr>
        <w:t xml:space="preserve"> </w:t>
      </w:r>
      <w:proofErr w:type="spellStart"/>
      <w:r>
        <w:rPr>
          <w:rFonts w:ascii="Arial" w:hAnsi="Arial" w:cs="Arial"/>
          <w:sz w:val="22"/>
          <w:szCs w:val="22"/>
        </w:rPr>
        <w:t>późn</w:t>
      </w:r>
      <w:proofErr w:type="spellEnd"/>
      <w:r>
        <w:rPr>
          <w:rFonts w:ascii="Arial" w:hAnsi="Arial" w:cs="Arial"/>
          <w:sz w:val="22"/>
          <w:szCs w:val="22"/>
        </w:rPr>
        <w:t>. zm.), §13 pkt 14 aktu założycielskiego spółki z dnia 31 grudnia 2015 r., art. 240 ustawy z dnia 15</w:t>
      </w:r>
      <w:r>
        <w:rPr>
          <w:rFonts w:ascii="Arial" w:hAnsi="Arial" w:cs="Arial"/>
          <w:sz w:val="22"/>
          <w:szCs w:val="22"/>
        </w:rPr>
        <w:t xml:space="preserve"> </w:t>
      </w:r>
      <w:r>
        <w:rPr>
          <w:rFonts w:ascii="Arial" w:hAnsi="Arial" w:cs="Arial"/>
          <w:sz w:val="22"/>
          <w:szCs w:val="22"/>
        </w:rPr>
        <w:t>września 2000 r. Kodeks spółek handlowych (</w:t>
      </w:r>
      <w:proofErr w:type="spellStart"/>
      <w:r>
        <w:rPr>
          <w:rFonts w:ascii="Arial" w:hAnsi="Arial" w:cs="Arial"/>
          <w:sz w:val="22"/>
          <w:szCs w:val="22"/>
        </w:rPr>
        <w:t>t.j</w:t>
      </w:r>
      <w:proofErr w:type="spellEnd"/>
      <w:r>
        <w:rPr>
          <w:rFonts w:ascii="Arial" w:hAnsi="Arial" w:cs="Arial"/>
          <w:sz w:val="22"/>
          <w:szCs w:val="22"/>
        </w:rPr>
        <w:t xml:space="preserve">. Dz. U. 2024 poz. 18 z </w:t>
      </w:r>
      <w:proofErr w:type="spellStart"/>
      <w:r>
        <w:rPr>
          <w:rFonts w:ascii="Arial" w:hAnsi="Arial" w:cs="Arial"/>
          <w:sz w:val="22"/>
          <w:szCs w:val="22"/>
        </w:rPr>
        <w:t>późn</w:t>
      </w:r>
      <w:proofErr w:type="spellEnd"/>
      <w:r>
        <w:rPr>
          <w:rFonts w:ascii="Arial" w:hAnsi="Arial" w:cs="Arial"/>
          <w:sz w:val="22"/>
          <w:szCs w:val="22"/>
        </w:rPr>
        <w:t>. zm.) Zgromadzenie Wspólników ...</w:t>
      </w:r>
      <w:proofErr w:type="spellStart"/>
      <w:r>
        <w:rPr>
          <w:rFonts w:ascii="Arial" w:hAnsi="Arial" w:cs="Arial"/>
          <w:sz w:val="22"/>
          <w:szCs w:val="22"/>
        </w:rPr>
        <w:t>Domaro</w:t>
      </w:r>
      <w:proofErr w:type="spellEnd"/>
      <w:r>
        <w:rPr>
          <w:rFonts w:ascii="Arial" w:hAnsi="Arial" w:cs="Arial"/>
          <w:sz w:val="22"/>
          <w:szCs w:val="22"/>
        </w:rPr>
        <w:t xml:space="preserve"> sp. z</w:t>
      </w:r>
      <w:r>
        <w:rPr>
          <w:rFonts w:ascii="Arial" w:hAnsi="Arial" w:cs="Arial"/>
          <w:sz w:val="22"/>
          <w:szCs w:val="22"/>
        </w:rPr>
        <w:t xml:space="preserve"> </w:t>
      </w:r>
      <w:r>
        <w:rPr>
          <w:rFonts w:ascii="Arial" w:hAnsi="Arial" w:cs="Arial"/>
          <w:sz w:val="22"/>
          <w:szCs w:val="22"/>
        </w:rPr>
        <w:t>o.o. uchwala co następuje:</w:t>
      </w:r>
    </w:p>
    <w:p w14:paraId="12F49D90" w14:textId="77777777" w:rsidR="001E56E9" w:rsidRDefault="001E56E9" w:rsidP="001E56E9">
      <w:pPr>
        <w:pStyle w:val="NormalnyWeb"/>
        <w:spacing w:before="0" w:beforeAutospacing="0" w:after="0" w:line="360" w:lineRule="auto"/>
      </w:pPr>
    </w:p>
    <w:p w14:paraId="2CE1675F" w14:textId="77777777" w:rsidR="001E56E9" w:rsidRDefault="001E56E9" w:rsidP="001E56E9">
      <w:pPr>
        <w:pStyle w:val="NormalnyWeb"/>
        <w:spacing w:before="0" w:beforeAutospacing="0" w:after="0" w:line="360" w:lineRule="auto"/>
      </w:pPr>
      <w:r>
        <w:rPr>
          <w:rFonts w:ascii="Arial" w:hAnsi="Arial" w:cs="Arial"/>
          <w:sz w:val="22"/>
          <w:szCs w:val="22"/>
        </w:rPr>
        <w:t>§1</w:t>
      </w:r>
    </w:p>
    <w:p w14:paraId="5E4774B0" w14:textId="77777777" w:rsidR="001E56E9" w:rsidRDefault="001E56E9" w:rsidP="001E56E9">
      <w:pPr>
        <w:pStyle w:val="NormalnyWeb"/>
        <w:numPr>
          <w:ilvl w:val="0"/>
          <w:numId w:val="3"/>
        </w:numPr>
        <w:spacing w:before="0" w:beforeAutospacing="0" w:after="0" w:line="360" w:lineRule="auto"/>
      </w:pPr>
      <w:r>
        <w:rPr>
          <w:rFonts w:ascii="Arial" w:hAnsi="Arial" w:cs="Arial"/>
          <w:sz w:val="22"/>
          <w:szCs w:val="22"/>
        </w:rPr>
        <w:t>Z członkiem Zarządu Spółki zawierana jest umowa o świadczenie usług zarządzania na czas pełnienia funkcji (zwana dalej Umową), z obowiązkiem świadczenia osobistego, bez względu na to, czy działa on w zakresie prowadzonej działalności gospodarczej.</w:t>
      </w:r>
    </w:p>
    <w:p w14:paraId="76546138" w14:textId="305543FA" w:rsidR="001E56E9" w:rsidRDefault="001E56E9" w:rsidP="001E56E9">
      <w:pPr>
        <w:pStyle w:val="NormalnyWeb"/>
        <w:numPr>
          <w:ilvl w:val="0"/>
          <w:numId w:val="3"/>
        </w:numPr>
        <w:spacing w:before="0" w:beforeAutospacing="0" w:after="0" w:line="360" w:lineRule="auto"/>
      </w:pPr>
      <w:r>
        <w:rPr>
          <w:rFonts w:ascii="Arial" w:hAnsi="Arial" w:cs="Arial"/>
          <w:sz w:val="22"/>
          <w:szCs w:val="22"/>
        </w:rPr>
        <w:t>Treść Umowy określi Rada Nadzorcza na warunkach określonych w ustawie z dnia 9</w:t>
      </w:r>
      <w:r>
        <w:rPr>
          <w:rFonts w:ascii="Arial" w:hAnsi="Arial" w:cs="Arial"/>
          <w:sz w:val="22"/>
          <w:szCs w:val="22"/>
        </w:rPr>
        <w:t xml:space="preserve"> </w:t>
      </w:r>
      <w:r>
        <w:rPr>
          <w:rFonts w:ascii="Arial" w:hAnsi="Arial" w:cs="Arial"/>
          <w:sz w:val="22"/>
          <w:szCs w:val="22"/>
        </w:rPr>
        <w:t>czerwca 2016 r. o zasadach kształtowania wynagrodzeń osób kierujących niektórymi spółkami (zwana dalej Ustawą) oraz zgodnie z postanowieniami niniejszej uchwały.</w:t>
      </w:r>
    </w:p>
    <w:p w14:paraId="1E22A705" w14:textId="77777777" w:rsidR="001E56E9" w:rsidRDefault="001E56E9" w:rsidP="001E56E9">
      <w:pPr>
        <w:pStyle w:val="NormalnyWeb"/>
        <w:spacing w:before="0" w:beforeAutospacing="0" w:after="0" w:line="360" w:lineRule="auto"/>
      </w:pPr>
    </w:p>
    <w:p w14:paraId="326E2017" w14:textId="77777777" w:rsidR="001E56E9" w:rsidRDefault="001E56E9" w:rsidP="001E56E9">
      <w:pPr>
        <w:pStyle w:val="NormalnyWeb"/>
        <w:spacing w:before="0" w:beforeAutospacing="0" w:after="0" w:line="360" w:lineRule="auto"/>
      </w:pPr>
      <w:r>
        <w:rPr>
          <w:rFonts w:ascii="Arial" w:hAnsi="Arial" w:cs="Arial"/>
          <w:sz w:val="22"/>
          <w:szCs w:val="22"/>
        </w:rPr>
        <w:t>§2</w:t>
      </w:r>
    </w:p>
    <w:p w14:paraId="45D1F1D0" w14:textId="77777777" w:rsidR="001E56E9" w:rsidRDefault="001E56E9" w:rsidP="001E56E9">
      <w:pPr>
        <w:pStyle w:val="NormalnyWeb"/>
        <w:numPr>
          <w:ilvl w:val="0"/>
          <w:numId w:val="4"/>
        </w:numPr>
        <w:spacing w:before="0" w:beforeAutospacing="0" w:after="0" w:line="360" w:lineRule="auto"/>
      </w:pPr>
      <w:r>
        <w:rPr>
          <w:rFonts w:ascii="Arial" w:hAnsi="Arial" w:cs="Arial"/>
          <w:sz w:val="22"/>
          <w:szCs w:val="22"/>
        </w:rPr>
        <w:t>Wynagrodzenie całkowite członka Zarządu Spółki składa się z części stałej, stanowiącej wynagrodzenie miesięczne podstawowe (wynagrodzenie stałe) oraz części zmiennej, stanowiącej wynagrodzenie uzupełniające za rok obrotowy Spółki (wynagrodzenie zmienne).</w:t>
      </w:r>
    </w:p>
    <w:p w14:paraId="2236A223" w14:textId="77777777" w:rsidR="001E56E9" w:rsidRDefault="001E56E9" w:rsidP="001E56E9">
      <w:pPr>
        <w:pStyle w:val="NormalnyWeb"/>
        <w:numPr>
          <w:ilvl w:val="0"/>
          <w:numId w:val="4"/>
        </w:numPr>
        <w:spacing w:before="0" w:beforeAutospacing="0" w:after="0" w:line="360" w:lineRule="auto"/>
      </w:pPr>
      <w:r>
        <w:rPr>
          <w:rFonts w:ascii="Arial" w:hAnsi="Arial" w:cs="Arial"/>
          <w:sz w:val="22"/>
          <w:szCs w:val="22"/>
        </w:rPr>
        <w:t>Wysokość miesięcznego wynagrodzenia stałego dla poszczególnych członków Zarządu ustalana będzie w odrębnych uchwałach Zgromadzenia Wspólników, z uwzględnieniem aktualnej skali działalności Spółki, w granicach określonych w art. 4 ust. 2 Ustawy.</w:t>
      </w:r>
    </w:p>
    <w:p w14:paraId="24F6EFEF" w14:textId="77777777" w:rsidR="001E56E9" w:rsidRDefault="001E56E9" w:rsidP="001E56E9">
      <w:pPr>
        <w:pStyle w:val="NormalnyWeb"/>
        <w:numPr>
          <w:ilvl w:val="0"/>
          <w:numId w:val="4"/>
        </w:numPr>
        <w:spacing w:before="0" w:beforeAutospacing="0" w:after="0" w:line="360" w:lineRule="auto"/>
      </w:pPr>
      <w:r>
        <w:rPr>
          <w:rFonts w:ascii="Arial" w:hAnsi="Arial" w:cs="Arial"/>
          <w:sz w:val="22"/>
          <w:szCs w:val="22"/>
        </w:rPr>
        <w:t>Wynagrodzenie zmienne członków Zarządu stanowiące wynagrodzenie uzupełniające za rok obrotowy, uzależnione jest od poziomu realizacji celów zarządczych.</w:t>
      </w:r>
    </w:p>
    <w:p w14:paraId="305F67C9" w14:textId="77777777" w:rsidR="001E56E9" w:rsidRDefault="001E56E9" w:rsidP="001E56E9">
      <w:pPr>
        <w:pStyle w:val="NormalnyWeb"/>
        <w:numPr>
          <w:ilvl w:val="0"/>
          <w:numId w:val="4"/>
        </w:numPr>
        <w:spacing w:before="0" w:beforeAutospacing="0" w:after="0" w:line="360" w:lineRule="auto"/>
      </w:pPr>
      <w:r>
        <w:rPr>
          <w:rFonts w:ascii="Arial" w:hAnsi="Arial" w:cs="Arial"/>
          <w:sz w:val="22"/>
          <w:szCs w:val="22"/>
        </w:rPr>
        <w:t xml:space="preserve">Wynagrodzenie zmienne jest uzależnione od poziomu realizacji celów zarządczych i nie może przekroczyć 15% wynagrodzenia stałego za poprzedni rok obrotowy, dla </w:t>
      </w:r>
      <w:r>
        <w:rPr>
          <w:rFonts w:ascii="Arial" w:hAnsi="Arial" w:cs="Arial"/>
          <w:sz w:val="22"/>
          <w:szCs w:val="22"/>
        </w:rPr>
        <w:lastRenderedPageBreak/>
        <w:t>którego dokonywane jest obliczenie wysokości przysługującego wynagrodzenia zmiennego.</w:t>
      </w:r>
    </w:p>
    <w:p w14:paraId="571D5A31" w14:textId="77777777" w:rsidR="001E56E9" w:rsidRDefault="001E56E9" w:rsidP="001E56E9">
      <w:pPr>
        <w:pStyle w:val="NormalnyWeb"/>
        <w:spacing w:before="0" w:beforeAutospacing="0" w:after="0" w:line="360" w:lineRule="auto"/>
      </w:pPr>
    </w:p>
    <w:p w14:paraId="1C19F147" w14:textId="77777777" w:rsidR="001E56E9" w:rsidRDefault="001E56E9" w:rsidP="001E56E9">
      <w:pPr>
        <w:pStyle w:val="NormalnyWeb"/>
        <w:spacing w:before="0" w:beforeAutospacing="0" w:after="0" w:line="360" w:lineRule="auto"/>
      </w:pPr>
      <w:r>
        <w:rPr>
          <w:rFonts w:ascii="Arial" w:hAnsi="Arial" w:cs="Arial"/>
          <w:sz w:val="22"/>
          <w:szCs w:val="22"/>
        </w:rPr>
        <w:t>§3</w:t>
      </w:r>
    </w:p>
    <w:p w14:paraId="2A4A04B7" w14:textId="77777777" w:rsidR="001E56E9" w:rsidRDefault="001E56E9" w:rsidP="001E56E9">
      <w:pPr>
        <w:pStyle w:val="NormalnyWeb"/>
        <w:numPr>
          <w:ilvl w:val="0"/>
          <w:numId w:val="5"/>
        </w:numPr>
        <w:spacing w:before="0" w:beforeAutospacing="0" w:after="0" w:line="360" w:lineRule="auto"/>
      </w:pPr>
      <w:r>
        <w:rPr>
          <w:rFonts w:ascii="Arial" w:hAnsi="Arial" w:cs="Arial"/>
          <w:sz w:val="22"/>
          <w:szCs w:val="22"/>
        </w:rPr>
        <w:t>Ustala się następujące cele zarządcze dla członków Zarządu:</w:t>
      </w:r>
    </w:p>
    <w:p w14:paraId="74A3A4BD" w14:textId="77777777" w:rsidR="001E56E9" w:rsidRDefault="001E56E9" w:rsidP="001E56E9">
      <w:pPr>
        <w:pStyle w:val="NormalnyWeb"/>
        <w:numPr>
          <w:ilvl w:val="0"/>
          <w:numId w:val="13"/>
        </w:numPr>
        <w:spacing w:before="0" w:beforeAutospacing="0" w:after="0" w:line="360" w:lineRule="auto"/>
      </w:pPr>
      <w:r>
        <w:rPr>
          <w:rFonts w:ascii="Arial" w:hAnsi="Arial" w:cs="Arial"/>
          <w:sz w:val="22"/>
          <w:szCs w:val="22"/>
        </w:rPr>
        <w:t>Poprawa stanu budynków stanowiących własność gminy oraz będących własnością spółki, w których są lokale mieszkalne wchodzące w skład mieszkaniowego zasobu gminy</w:t>
      </w:r>
    </w:p>
    <w:p w14:paraId="44F3D2B5" w14:textId="77777777" w:rsidR="001E56E9" w:rsidRDefault="001E56E9" w:rsidP="001E56E9">
      <w:pPr>
        <w:pStyle w:val="NormalnyWeb"/>
        <w:numPr>
          <w:ilvl w:val="0"/>
          <w:numId w:val="13"/>
        </w:numPr>
        <w:spacing w:before="0" w:beforeAutospacing="0" w:after="0" w:line="360" w:lineRule="auto"/>
      </w:pPr>
      <w:r>
        <w:rPr>
          <w:rFonts w:ascii="Arial" w:hAnsi="Arial" w:cs="Arial"/>
          <w:sz w:val="22"/>
          <w:szCs w:val="22"/>
        </w:rPr>
        <w:t>Utrzymanie płynności finansowej</w:t>
      </w:r>
    </w:p>
    <w:p w14:paraId="58E740E5" w14:textId="77777777" w:rsidR="001E56E9" w:rsidRDefault="001E56E9" w:rsidP="001E56E9">
      <w:pPr>
        <w:pStyle w:val="NormalnyWeb"/>
        <w:numPr>
          <w:ilvl w:val="0"/>
          <w:numId w:val="13"/>
        </w:numPr>
        <w:spacing w:before="0" w:beforeAutospacing="0" w:after="0" w:line="360" w:lineRule="auto"/>
      </w:pPr>
      <w:r>
        <w:rPr>
          <w:rFonts w:ascii="Arial" w:hAnsi="Arial" w:cs="Arial"/>
          <w:sz w:val="22"/>
          <w:szCs w:val="22"/>
        </w:rPr>
        <w:t>Utrzymanie poziomu windykacji należności.</w:t>
      </w:r>
    </w:p>
    <w:p w14:paraId="3AB1748C" w14:textId="77777777" w:rsidR="001E56E9" w:rsidRDefault="001E56E9" w:rsidP="001E56E9">
      <w:pPr>
        <w:pStyle w:val="NormalnyWeb"/>
        <w:spacing w:before="0" w:beforeAutospacing="0" w:after="0" w:line="360" w:lineRule="auto"/>
      </w:pPr>
    </w:p>
    <w:p w14:paraId="44D0F327" w14:textId="2F510A26" w:rsidR="001E56E9" w:rsidRDefault="001E56E9" w:rsidP="001E56E9">
      <w:pPr>
        <w:pStyle w:val="NormalnyWeb"/>
        <w:numPr>
          <w:ilvl w:val="0"/>
          <w:numId w:val="7"/>
        </w:numPr>
        <w:spacing w:before="0" w:beforeAutospacing="0" w:after="0" w:line="360" w:lineRule="auto"/>
      </w:pPr>
      <w:r>
        <w:rPr>
          <w:rFonts w:ascii="Arial" w:hAnsi="Arial" w:cs="Arial"/>
          <w:sz w:val="22"/>
          <w:szCs w:val="22"/>
        </w:rPr>
        <w:t>Wagi celów o których mowa w ust. 1, a także obiektywne i mierzalne kryteria ich realizacji i</w:t>
      </w:r>
      <w:r>
        <w:rPr>
          <w:rFonts w:ascii="Arial" w:hAnsi="Arial" w:cs="Arial"/>
          <w:sz w:val="22"/>
          <w:szCs w:val="22"/>
        </w:rPr>
        <w:t xml:space="preserve"> </w:t>
      </w:r>
      <w:r>
        <w:rPr>
          <w:rFonts w:ascii="Arial" w:hAnsi="Arial" w:cs="Arial"/>
          <w:sz w:val="22"/>
          <w:szCs w:val="22"/>
        </w:rPr>
        <w:t>rozliczania będą ustalane w odrębnych uchwałach Zgromadzenia Wspólników, o</w:t>
      </w:r>
      <w:r>
        <w:rPr>
          <w:rFonts w:ascii="Arial" w:hAnsi="Arial" w:cs="Arial"/>
          <w:sz w:val="22"/>
          <w:szCs w:val="22"/>
        </w:rPr>
        <w:t xml:space="preserve"> </w:t>
      </w:r>
      <w:r>
        <w:rPr>
          <w:rFonts w:ascii="Arial" w:hAnsi="Arial" w:cs="Arial"/>
          <w:sz w:val="22"/>
          <w:szCs w:val="22"/>
        </w:rPr>
        <w:t>których mowa w §2 ust. 2 niniejszej uchwały.</w:t>
      </w:r>
    </w:p>
    <w:p w14:paraId="1F0D0646" w14:textId="77777777" w:rsidR="001E56E9" w:rsidRDefault="001E56E9" w:rsidP="001E56E9">
      <w:pPr>
        <w:pStyle w:val="NormalnyWeb"/>
        <w:numPr>
          <w:ilvl w:val="0"/>
          <w:numId w:val="7"/>
        </w:numPr>
        <w:spacing w:before="0" w:beforeAutospacing="0" w:after="0" w:line="360" w:lineRule="auto"/>
      </w:pPr>
      <w:r>
        <w:rPr>
          <w:rFonts w:ascii="Arial" w:hAnsi="Arial" w:cs="Arial"/>
          <w:sz w:val="22"/>
          <w:szCs w:val="22"/>
        </w:rPr>
        <w:t>Wynagrodzenie zmienne dla danego członka zarządu przysługuje po zatwierdzeniu sprawozdania Zarządu z działalności Spółki oraz sprawozdania finansowego Spółki za ubiegły rok obrotowy oraz udzieleniu temu członkowi Zarządu absolutorium z wykonania przez niego obowiązków przez Zgromadzenie Wspólników.</w:t>
      </w:r>
    </w:p>
    <w:p w14:paraId="51B65C82" w14:textId="20AC99F4" w:rsidR="001E56E9" w:rsidRDefault="001E56E9" w:rsidP="001E56E9">
      <w:pPr>
        <w:pStyle w:val="NormalnyWeb"/>
        <w:numPr>
          <w:ilvl w:val="0"/>
          <w:numId w:val="7"/>
        </w:numPr>
        <w:spacing w:before="0" w:beforeAutospacing="0" w:after="0" w:line="360" w:lineRule="auto"/>
      </w:pPr>
      <w:r>
        <w:rPr>
          <w:rFonts w:ascii="Arial" w:hAnsi="Arial" w:cs="Arial"/>
          <w:sz w:val="22"/>
          <w:szCs w:val="22"/>
        </w:rPr>
        <w:t>Spełnienie warunków przyznania poszczególnym członkom Zarządu wynagrodzenia uzupełniającego za dany rok obrotowy oraz wysokość tego wynagrodzenia stwierdza uchwałą Rada Nadzorcza w oparciu o</w:t>
      </w:r>
      <w:r>
        <w:rPr>
          <w:rFonts w:ascii="Arial" w:hAnsi="Arial" w:cs="Arial"/>
          <w:sz w:val="22"/>
          <w:szCs w:val="22"/>
        </w:rPr>
        <w:t xml:space="preserve"> </w:t>
      </w:r>
      <w:r>
        <w:rPr>
          <w:rFonts w:ascii="Arial" w:hAnsi="Arial" w:cs="Arial"/>
          <w:sz w:val="22"/>
          <w:szCs w:val="22"/>
        </w:rPr>
        <w:t>sprawozdanie finansowe oraz inne dokumenty właściwe do oceny realizacji wyznaczonych celów. W przypadku częściowej realizacji celów zarządczych, stopień realizacji celów zarządczych Rada Nadzorcza ustala w proporcji do liczby uzyskanych punktów, w przełożeniu na wysokość wynagrodzenia.</w:t>
      </w:r>
    </w:p>
    <w:p w14:paraId="5C07C017" w14:textId="77777777" w:rsidR="001E56E9" w:rsidRDefault="001E56E9" w:rsidP="001E56E9">
      <w:pPr>
        <w:pStyle w:val="NormalnyWeb"/>
        <w:numPr>
          <w:ilvl w:val="0"/>
          <w:numId w:val="7"/>
        </w:numPr>
        <w:spacing w:before="0" w:beforeAutospacing="0" w:after="0" w:line="360" w:lineRule="auto"/>
      </w:pPr>
      <w:r>
        <w:rPr>
          <w:rFonts w:ascii="Arial" w:hAnsi="Arial" w:cs="Arial"/>
          <w:sz w:val="22"/>
          <w:szCs w:val="22"/>
        </w:rPr>
        <w:t>Ostatecznej oceny realizacji celów zarządczych oraz zatwierdzenia kwoty wynagrodzenia zmiennego dla członka Zarządu za ubiegły rok obrotowy dokonuje Zgromadzenie Wspólników na podstawie wniosku Rady Nadzorczej potwierdzającego spełnienie wymagań warunkujących możliwość wypłaty wynagrodzenia zmiennego oraz prawidłowość jego wyliczenia.</w:t>
      </w:r>
    </w:p>
    <w:p w14:paraId="30611C88" w14:textId="77777777" w:rsidR="001E56E9" w:rsidRDefault="001E56E9" w:rsidP="001E56E9">
      <w:pPr>
        <w:pStyle w:val="NormalnyWeb"/>
        <w:numPr>
          <w:ilvl w:val="0"/>
          <w:numId w:val="7"/>
        </w:numPr>
        <w:spacing w:before="0" w:beforeAutospacing="0" w:after="0" w:line="360" w:lineRule="auto"/>
      </w:pPr>
      <w:r>
        <w:rPr>
          <w:rFonts w:ascii="Arial" w:hAnsi="Arial" w:cs="Arial"/>
          <w:sz w:val="22"/>
          <w:szCs w:val="22"/>
        </w:rPr>
        <w:t>W przypadku pełnienia funkcji przez członka Zarządu tylko przez część danego roku obrotowego, wysokość wynagrodzenia uzupełniającego przysługującego za ten rok jest ustalana z uwzględnieniem okresu sprawowania funkcji członka Zarządu w takim roku obrotowym.</w:t>
      </w:r>
    </w:p>
    <w:p w14:paraId="18904FA5" w14:textId="79362369" w:rsidR="001E56E9" w:rsidRDefault="001E56E9" w:rsidP="001E56E9">
      <w:pPr>
        <w:pStyle w:val="NormalnyWeb"/>
        <w:numPr>
          <w:ilvl w:val="0"/>
          <w:numId w:val="7"/>
        </w:numPr>
        <w:spacing w:before="0" w:beforeAutospacing="0" w:after="0" w:line="360" w:lineRule="auto"/>
      </w:pPr>
      <w:r>
        <w:rPr>
          <w:rFonts w:ascii="Arial" w:hAnsi="Arial" w:cs="Arial"/>
          <w:sz w:val="22"/>
          <w:szCs w:val="22"/>
        </w:rPr>
        <w:t xml:space="preserve">Członek Zarządu składa Radzie Nadzorczej sprawozdanie z wykonania przez siebie celów zarządczych. Jeżeli w czasie jego sporządzania członek Zarządu nie pełni już </w:t>
      </w:r>
      <w:r>
        <w:rPr>
          <w:rFonts w:ascii="Arial" w:hAnsi="Arial" w:cs="Arial"/>
          <w:sz w:val="22"/>
          <w:szCs w:val="22"/>
        </w:rPr>
        <w:lastRenderedPageBreak/>
        <w:t>funkcji w</w:t>
      </w:r>
      <w:r>
        <w:rPr>
          <w:rFonts w:ascii="Arial" w:hAnsi="Arial" w:cs="Arial"/>
          <w:sz w:val="22"/>
          <w:szCs w:val="22"/>
        </w:rPr>
        <w:t xml:space="preserve"> </w:t>
      </w:r>
      <w:r>
        <w:rPr>
          <w:rFonts w:ascii="Arial" w:hAnsi="Arial" w:cs="Arial"/>
          <w:sz w:val="22"/>
          <w:szCs w:val="22"/>
        </w:rPr>
        <w:t>Zarządzie, Spółka jest zobowiązana do udzielenia mu niezbędnych informacji celem sporządzenia takiego sprawozdania.</w:t>
      </w:r>
    </w:p>
    <w:p w14:paraId="734C364B" w14:textId="77777777" w:rsidR="001E56E9" w:rsidRDefault="001E56E9" w:rsidP="001E56E9">
      <w:pPr>
        <w:pStyle w:val="NormalnyWeb"/>
        <w:spacing w:before="0" w:beforeAutospacing="0" w:after="0" w:line="360" w:lineRule="auto"/>
      </w:pPr>
    </w:p>
    <w:p w14:paraId="4DCBD4C7" w14:textId="77777777" w:rsidR="001E56E9" w:rsidRDefault="001E56E9" w:rsidP="001E56E9">
      <w:pPr>
        <w:pStyle w:val="NormalnyWeb"/>
        <w:spacing w:before="0" w:beforeAutospacing="0" w:after="0" w:line="360" w:lineRule="auto"/>
      </w:pPr>
      <w:r>
        <w:rPr>
          <w:rFonts w:ascii="Arial" w:hAnsi="Arial" w:cs="Arial"/>
          <w:sz w:val="22"/>
          <w:szCs w:val="22"/>
        </w:rPr>
        <w:t>§4</w:t>
      </w:r>
    </w:p>
    <w:p w14:paraId="1FAEC81D" w14:textId="77777777" w:rsidR="001E56E9" w:rsidRDefault="001E56E9" w:rsidP="001E56E9">
      <w:pPr>
        <w:pStyle w:val="NormalnyWeb"/>
        <w:numPr>
          <w:ilvl w:val="0"/>
          <w:numId w:val="8"/>
        </w:numPr>
        <w:spacing w:before="0" w:beforeAutospacing="0" w:after="0" w:line="360" w:lineRule="auto"/>
      </w:pPr>
      <w:r>
        <w:rPr>
          <w:rFonts w:ascii="Arial" w:hAnsi="Arial" w:cs="Arial"/>
          <w:sz w:val="22"/>
          <w:szCs w:val="22"/>
        </w:rPr>
        <w:t>Umowa zawiera obowiązek informowania przez członka Zarządu o zamiarze pełnienia funkcji w organach innej spółki handlowej, nabyciu w niej akcji oraz może przewidywać zakaz pełnienia funkcji w organach jakiejkolwiek innej spółki handlowej lub wprowadzać inne ograniczenia dotyczące dodatkowej działalności Prezesa Zarządu.</w:t>
      </w:r>
    </w:p>
    <w:p w14:paraId="0F3FB0A4" w14:textId="77777777" w:rsidR="001E56E9" w:rsidRDefault="001E56E9" w:rsidP="001E56E9">
      <w:pPr>
        <w:pStyle w:val="NormalnyWeb"/>
        <w:numPr>
          <w:ilvl w:val="0"/>
          <w:numId w:val="8"/>
        </w:numPr>
        <w:spacing w:before="0" w:beforeAutospacing="0" w:after="0" w:line="360" w:lineRule="auto"/>
      </w:pPr>
      <w:r>
        <w:rPr>
          <w:rFonts w:ascii="Arial" w:hAnsi="Arial" w:cs="Arial"/>
          <w:sz w:val="22"/>
          <w:szCs w:val="22"/>
        </w:rPr>
        <w:t>Członek Zarządu nie może pobierać wynagrodzenia z tytułu pełnienia funkcji członka organu w podmiotach zależnych od Spółki w ramach grupy kapitałowej w rozumieniu art. 4 pkt 14 ustawy z dnia 16 lutego 2007 r. o ochronie konkurencji i konsumentów.</w:t>
      </w:r>
    </w:p>
    <w:p w14:paraId="19684E96" w14:textId="77777777" w:rsidR="001E56E9" w:rsidRDefault="001E56E9" w:rsidP="001E56E9">
      <w:pPr>
        <w:pStyle w:val="NormalnyWeb"/>
        <w:numPr>
          <w:ilvl w:val="0"/>
          <w:numId w:val="8"/>
        </w:numPr>
        <w:spacing w:before="0" w:beforeAutospacing="0" w:after="0" w:line="360" w:lineRule="auto"/>
      </w:pPr>
      <w:r>
        <w:rPr>
          <w:rFonts w:ascii="Arial" w:hAnsi="Arial" w:cs="Arial"/>
          <w:sz w:val="22"/>
          <w:szCs w:val="22"/>
        </w:rPr>
        <w:t>Upoważnia się Radę Nadzorczą do określenia zakazów i ograniczeń, o których mowa w ust. 1 i 2, obowiązków sprawozdawczych z ich wykonania oraz sankcji za nienależyte wykonanie.</w:t>
      </w:r>
    </w:p>
    <w:p w14:paraId="519B7D26" w14:textId="77777777" w:rsidR="001E56E9" w:rsidRDefault="001E56E9" w:rsidP="001E56E9">
      <w:pPr>
        <w:pStyle w:val="NormalnyWeb"/>
        <w:spacing w:before="0" w:beforeAutospacing="0" w:after="0" w:line="360" w:lineRule="auto"/>
      </w:pPr>
      <w:r>
        <w:rPr>
          <w:rFonts w:ascii="Arial" w:hAnsi="Arial" w:cs="Arial"/>
          <w:sz w:val="22"/>
          <w:szCs w:val="22"/>
        </w:rPr>
        <w:t>§5</w:t>
      </w:r>
    </w:p>
    <w:p w14:paraId="551CFE89" w14:textId="77777777" w:rsidR="001E56E9" w:rsidRDefault="001E56E9" w:rsidP="001E56E9">
      <w:pPr>
        <w:pStyle w:val="NormalnyWeb"/>
        <w:numPr>
          <w:ilvl w:val="0"/>
          <w:numId w:val="9"/>
        </w:numPr>
        <w:spacing w:before="0" w:beforeAutospacing="0" w:after="0" w:line="360" w:lineRule="auto"/>
      </w:pPr>
      <w:r>
        <w:rPr>
          <w:rFonts w:ascii="Arial" w:hAnsi="Arial" w:cs="Arial"/>
          <w:sz w:val="22"/>
          <w:szCs w:val="22"/>
        </w:rPr>
        <w:t>Rada Nadzorcza określi w Umowie zakres i zasady udostępniania członkom Zarządu urządzeń technicznych oraz zasobów stanowiących mienie Spółki, niezbędnych do wykonywania funkcji, a także limity dotyczące poszczególnych kosztów albo sposób ich określania.</w:t>
      </w:r>
    </w:p>
    <w:p w14:paraId="545D9E8B" w14:textId="77777777" w:rsidR="001E56E9" w:rsidRDefault="001E56E9" w:rsidP="001E56E9">
      <w:pPr>
        <w:pStyle w:val="NormalnyWeb"/>
        <w:numPr>
          <w:ilvl w:val="0"/>
          <w:numId w:val="9"/>
        </w:numPr>
        <w:spacing w:before="0" w:beforeAutospacing="0" w:after="0" w:line="360" w:lineRule="auto"/>
      </w:pPr>
      <w:r>
        <w:rPr>
          <w:rFonts w:ascii="Arial" w:hAnsi="Arial" w:cs="Arial"/>
          <w:sz w:val="22"/>
          <w:szCs w:val="22"/>
        </w:rPr>
        <w:t>Umowa może określać także zasady korzystania przez członka Zarządu z mienia Spółki do celów prywatnych.</w:t>
      </w:r>
    </w:p>
    <w:p w14:paraId="26980CFE" w14:textId="77777777" w:rsidR="001E56E9" w:rsidRDefault="001E56E9" w:rsidP="001E56E9">
      <w:pPr>
        <w:pStyle w:val="NormalnyWeb"/>
        <w:spacing w:before="0" w:beforeAutospacing="0" w:after="0" w:line="360" w:lineRule="auto"/>
      </w:pPr>
    </w:p>
    <w:p w14:paraId="32374597" w14:textId="77777777" w:rsidR="001E56E9" w:rsidRDefault="001E56E9" w:rsidP="001E56E9">
      <w:pPr>
        <w:pStyle w:val="NormalnyWeb"/>
        <w:spacing w:before="0" w:beforeAutospacing="0" w:after="0" w:line="360" w:lineRule="auto"/>
      </w:pPr>
      <w:r>
        <w:rPr>
          <w:rFonts w:ascii="Arial" w:hAnsi="Arial" w:cs="Arial"/>
          <w:sz w:val="22"/>
          <w:szCs w:val="22"/>
        </w:rPr>
        <w:t>§6</w:t>
      </w:r>
    </w:p>
    <w:p w14:paraId="0D75791E" w14:textId="77777777" w:rsidR="001E56E9" w:rsidRDefault="001E56E9" w:rsidP="001E56E9">
      <w:pPr>
        <w:pStyle w:val="NormalnyWeb"/>
        <w:numPr>
          <w:ilvl w:val="0"/>
          <w:numId w:val="10"/>
        </w:numPr>
        <w:spacing w:before="0" w:beforeAutospacing="0" w:after="0" w:line="360" w:lineRule="auto"/>
      </w:pPr>
      <w:r>
        <w:rPr>
          <w:rFonts w:ascii="Arial" w:hAnsi="Arial" w:cs="Arial"/>
          <w:sz w:val="22"/>
          <w:szCs w:val="22"/>
        </w:rPr>
        <w:t>W przypadku wygaśnięcia mandatu w szczególności na skutek śmierci, odwołania lub złożenia rezygnacji, Umowa rozwiązuje się z ostatnim dniem pełnienia funkcji bez okresu wypowiedzenia i konieczności dokonywania dodatkowych czynności.</w:t>
      </w:r>
    </w:p>
    <w:p w14:paraId="6EB41D68" w14:textId="77777777" w:rsidR="001E56E9" w:rsidRDefault="001E56E9" w:rsidP="001E56E9">
      <w:pPr>
        <w:pStyle w:val="NormalnyWeb"/>
        <w:numPr>
          <w:ilvl w:val="0"/>
          <w:numId w:val="10"/>
        </w:numPr>
        <w:spacing w:before="0" w:beforeAutospacing="0" w:after="0" w:line="360" w:lineRule="auto"/>
      </w:pPr>
      <w:r>
        <w:rPr>
          <w:rFonts w:ascii="Arial" w:hAnsi="Arial" w:cs="Arial"/>
          <w:sz w:val="22"/>
          <w:szCs w:val="22"/>
        </w:rPr>
        <w:t>W przypadku rozwiązania Umowy za porozumieniem Stron ustalony termin rozwiązania Umowy nie może być dłuższy niż 3 (trzy) miesiące</w:t>
      </w:r>
    </w:p>
    <w:p w14:paraId="0ED910C0" w14:textId="285CD743" w:rsidR="001E56E9" w:rsidRDefault="001E56E9" w:rsidP="001E56E9">
      <w:pPr>
        <w:pStyle w:val="NormalnyWeb"/>
        <w:numPr>
          <w:ilvl w:val="0"/>
          <w:numId w:val="10"/>
        </w:numPr>
        <w:spacing w:before="0" w:beforeAutospacing="0" w:after="0" w:line="360" w:lineRule="auto"/>
      </w:pPr>
      <w:r>
        <w:rPr>
          <w:rFonts w:ascii="Arial" w:hAnsi="Arial" w:cs="Arial"/>
          <w:sz w:val="22"/>
          <w:szCs w:val="22"/>
        </w:rPr>
        <w:t>Każda ze stron ma prawy wypowiedzenia Umowy ze skutkiem natychmiastowym w</w:t>
      </w:r>
      <w:r>
        <w:rPr>
          <w:rFonts w:ascii="Arial" w:hAnsi="Arial" w:cs="Arial"/>
          <w:sz w:val="22"/>
          <w:szCs w:val="22"/>
        </w:rPr>
        <w:t xml:space="preserve"> </w:t>
      </w:r>
      <w:r>
        <w:rPr>
          <w:rFonts w:ascii="Arial" w:hAnsi="Arial" w:cs="Arial"/>
          <w:sz w:val="22"/>
          <w:szCs w:val="22"/>
        </w:rPr>
        <w:t>przypadku istotnego naruszenia przez drugą stronę postanowień Umowy.</w:t>
      </w:r>
    </w:p>
    <w:p w14:paraId="386453DE" w14:textId="77777777" w:rsidR="001E56E9" w:rsidRDefault="001E56E9" w:rsidP="001E56E9">
      <w:pPr>
        <w:pStyle w:val="NormalnyWeb"/>
        <w:numPr>
          <w:ilvl w:val="0"/>
          <w:numId w:val="10"/>
        </w:numPr>
        <w:spacing w:before="0" w:beforeAutospacing="0" w:after="0" w:line="360" w:lineRule="auto"/>
      </w:pPr>
      <w:r>
        <w:rPr>
          <w:rFonts w:ascii="Arial" w:hAnsi="Arial" w:cs="Arial"/>
          <w:sz w:val="22"/>
          <w:szCs w:val="22"/>
        </w:rPr>
        <w:t>Każda ze stron ma prawo wypowiedzenia Umowy z innych przyczyn niż określona w ust. 3, maksymalnie z 3 (trzy) miesięcznym terminem wypowiedzenia.</w:t>
      </w:r>
    </w:p>
    <w:p w14:paraId="7BF23560" w14:textId="77777777" w:rsidR="001E56E9" w:rsidRDefault="001E56E9" w:rsidP="001E56E9">
      <w:pPr>
        <w:pStyle w:val="NormalnyWeb"/>
        <w:numPr>
          <w:ilvl w:val="0"/>
          <w:numId w:val="10"/>
        </w:numPr>
        <w:spacing w:before="0" w:beforeAutospacing="0" w:after="0" w:line="360" w:lineRule="auto"/>
      </w:pPr>
      <w:r>
        <w:rPr>
          <w:rFonts w:ascii="Arial" w:hAnsi="Arial" w:cs="Arial"/>
          <w:sz w:val="22"/>
          <w:szCs w:val="22"/>
        </w:rPr>
        <w:t>Umowa może przewidywać różne terminy wypowiedzenia w zależności od czasu pełnienia funkcji członka Zarządu, z zastrzeżeniem ust. 1, a także , że termin wypowiedzenia upływa z końcem miesiąca kalendarzowego.</w:t>
      </w:r>
    </w:p>
    <w:p w14:paraId="15F699E4" w14:textId="77777777" w:rsidR="001E56E9" w:rsidRDefault="001E56E9" w:rsidP="001E56E9">
      <w:pPr>
        <w:pStyle w:val="NormalnyWeb"/>
        <w:numPr>
          <w:ilvl w:val="0"/>
          <w:numId w:val="10"/>
        </w:numPr>
        <w:spacing w:before="0" w:beforeAutospacing="0" w:after="0" w:line="360" w:lineRule="auto"/>
      </w:pPr>
      <w:r>
        <w:rPr>
          <w:rFonts w:ascii="Arial" w:hAnsi="Arial" w:cs="Arial"/>
          <w:sz w:val="22"/>
          <w:szCs w:val="22"/>
        </w:rPr>
        <w:lastRenderedPageBreak/>
        <w:t>W razie rozwiązania albo wypowiedzenia umowy o świadczenie usług zarządzania członka organu zarządzającego przez spółkę, z innych przyczyn niż naruszenie podstawowych obowiązków wynikających z tej umowy, może być przyznana odprawa, w wysokości nie wyższej niż trzykrotność części stałej wynagrodzenia, pod warunkiem pełnienia przez niego funkcji przez okres co najmniej dwunastu miesięcy przed rozwiązaniem tej umowy.</w:t>
      </w:r>
    </w:p>
    <w:p w14:paraId="307A769A" w14:textId="77777777" w:rsidR="001E56E9" w:rsidRDefault="001E56E9" w:rsidP="001E56E9">
      <w:pPr>
        <w:pStyle w:val="NormalnyWeb"/>
        <w:spacing w:before="0" w:beforeAutospacing="0" w:after="0" w:line="360" w:lineRule="auto"/>
      </w:pPr>
    </w:p>
    <w:p w14:paraId="6524C351" w14:textId="77777777" w:rsidR="001E56E9" w:rsidRDefault="001E56E9" w:rsidP="001E56E9">
      <w:pPr>
        <w:pStyle w:val="NormalnyWeb"/>
        <w:spacing w:before="0" w:beforeAutospacing="0" w:after="0" w:line="360" w:lineRule="auto"/>
      </w:pPr>
      <w:r>
        <w:rPr>
          <w:rFonts w:ascii="Arial" w:hAnsi="Arial" w:cs="Arial"/>
          <w:sz w:val="22"/>
          <w:szCs w:val="22"/>
        </w:rPr>
        <w:t>§7</w:t>
      </w:r>
    </w:p>
    <w:p w14:paraId="4E65DE4E" w14:textId="5F175539" w:rsidR="001E56E9" w:rsidRDefault="001E56E9" w:rsidP="001E56E9">
      <w:pPr>
        <w:pStyle w:val="NormalnyWeb"/>
        <w:numPr>
          <w:ilvl w:val="0"/>
          <w:numId w:val="11"/>
        </w:numPr>
        <w:spacing w:before="0" w:beforeAutospacing="0" w:after="0" w:line="360" w:lineRule="auto"/>
      </w:pPr>
      <w:r>
        <w:rPr>
          <w:rFonts w:ascii="Arial" w:hAnsi="Arial" w:cs="Arial"/>
          <w:sz w:val="22"/>
          <w:szCs w:val="22"/>
        </w:rPr>
        <w:t>Rada Nadzorcza może zawrzeć z członkiem Zarządu umowę o zakazie konkurencji obowiązującym po ustaniu pełnieni funkcji przy czym może być ona zawarta jedynie w</w:t>
      </w:r>
      <w:r>
        <w:rPr>
          <w:rFonts w:ascii="Arial" w:hAnsi="Arial" w:cs="Arial"/>
          <w:sz w:val="22"/>
          <w:szCs w:val="22"/>
        </w:rPr>
        <w:t xml:space="preserve"> </w:t>
      </w:r>
      <w:r>
        <w:rPr>
          <w:rFonts w:ascii="Arial" w:hAnsi="Arial" w:cs="Arial"/>
          <w:sz w:val="22"/>
          <w:szCs w:val="22"/>
        </w:rPr>
        <w:t>przypadku pełnienia funkcji przez członka Zarządu przez okres co najmniej trzech miesięcy.</w:t>
      </w:r>
    </w:p>
    <w:p w14:paraId="350E350C" w14:textId="6D16DA6D" w:rsidR="001E56E9" w:rsidRDefault="001E56E9" w:rsidP="001E56E9">
      <w:pPr>
        <w:pStyle w:val="NormalnyWeb"/>
        <w:numPr>
          <w:ilvl w:val="0"/>
          <w:numId w:val="11"/>
        </w:numPr>
        <w:spacing w:before="0" w:beforeAutospacing="0" w:after="0" w:line="360" w:lineRule="auto"/>
      </w:pPr>
      <w:r>
        <w:rPr>
          <w:rFonts w:ascii="Arial" w:hAnsi="Arial" w:cs="Arial"/>
          <w:sz w:val="22"/>
          <w:szCs w:val="22"/>
        </w:rPr>
        <w:t>Zawarcie umowy o zakazie konkurencji po rozwiązaniu lub wypowiedzeniu umowy o</w:t>
      </w:r>
      <w:r>
        <w:rPr>
          <w:rFonts w:ascii="Arial" w:hAnsi="Arial" w:cs="Arial"/>
          <w:sz w:val="22"/>
          <w:szCs w:val="22"/>
        </w:rPr>
        <w:t xml:space="preserve"> </w:t>
      </w:r>
      <w:r>
        <w:rPr>
          <w:rFonts w:ascii="Arial" w:hAnsi="Arial" w:cs="Arial"/>
          <w:sz w:val="22"/>
          <w:szCs w:val="22"/>
        </w:rPr>
        <w:t>świadczenie usług zarządzania jest niedopuszczalne.</w:t>
      </w:r>
    </w:p>
    <w:p w14:paraId="7D15D79C" w14:textId="77777777" w:rsidR="001E56E9" w:rsidRDefault="001E56E9" w:rsidP="001E56E9">
      <w:pPr>
        <w:pStyle w:val="NormalnyWeb"/>
        <w:numPr>
          <w:ilvl w:val="0"/>
          <w:numId w:val="11"/>
        </w:numPr>
        <w:spacing w:before="0" w:beforeAutospacing="0" w:after="0" w:line="360" w:lineRule="auto"/>
      </w:pPr>
      <w:r>
        <w:rPr>
          <w:rFonts w:ascii="Arial" w:hAnsi="Arial" w:cs="Arial"/>
          <w:sz w:val="22"/>
          <w:szCs w:val="22"/>
        </w:rPr>
        <w:t>Okres zakazu konkurencji nie może przekraczać 6 (sześciu) miesięcy po ustaniu pełnienia funkcji przez członka Zarządu.</w:t>
      </w:r>
    </w:p>
    <w:p w14:paraId="49FD7C19" w14:textId="77F07C46" w:rsidR="001E56E9" w:rsidRDefault="001E56E9" w:rsidP="001E56E9">
      <w:pPr>
        <w:pStyle w:val="NormalnyWeb"/>
        <w:numPr>
          <w:ilvl w:val="0"/>
          <w:numId w:val="11"/>
        </w:numPr>
        <w:spacing w:before="0" w:beforeAutospacing="0" w:after="0" w:line="360" w:lineRule="auto"/>
      </w:pPr>
      <w:r>
        <w:rPr>
          <w:rFonts w:ascii="Arial" w:hAnsi="Arial" w:cs="Arial"/>
          <w:sz w:val="22"/>
          <w:szCs w:val="22"/>
        </w:rPr>
        <w:t>W razie niewykonania lub nienależytego wykonania przez członka Zarządu umowy o</w:t>
      </w:r>
      <w:r>
        <w:rPr>
          <w:rFonts w:ascii="Arial" w:hAnsi="Arial" w:cs="Arial"/>
          <w:sz w:val="22"/>
          <w:szCs w:val="22"/>
        </w:rPr>
        <w:t xml:space="preserve"> </w:t>
      </w:r>
      <w:r>
        <w:rPr>
          <w:rFonts w:ascii="Arial" w:hAnsi="Arial" w:cs="Arial"/>
          <w:sz w:val="22"/>
          <w:szCs w:val="22"/>
        </w:rPr>
        <w:t>zakazie konkurencji będzie on zobowiązany do zapłaty kary umownej na rzecz Spółki, nie niższej niż wysokość odszkodowania przysługującego za cały okres zakazu konkurencji.</w:t>
      </w:r>
    </w:p>
    <w:p w14:paraId="1C8EB1D0" w14:textId="77777777" w:rsidR="001E56E9" w:rsidRDefault="001E56E9" w:rsidP="001E56E9">
      <w:pPr>
        <w:pStyle w:val="NormalnyWeb"/>
        <w:numPr>
          <w:ilvl w:val="0"/>
          <w:numId w:val="11"/>
        </w:numPr>
        <w:spacing w:before="0" w:beforeAutospacing="0" w:after="0" w:line="360" w:lineRule="auto"/>
      </w:pPr>
      <w:r>
        <w:rPr>
          <w:rFonts w:ascii="Arial" w:hAnsi="Arial" w:cs="Arial"/>
          <w:sz w:val="22"/>
          <w:szCs w:val="22"/>
        </w:rPr>
        <w:t>Zakaz konkurencji przestaje obowiązywać przed upływem terminu, na jaki została zawarta umowa o zakazie konkurencji, w razie podjęcie się pełnienia przez członka Zarządu funkcji w innej spółce w rozumieniu art. 1 ust. 3 pkt 7 ustawy o zasadach kształtowania wynagrodzeń osób kierujących niektórymi spółkami.</w:t>
      </w:r>
    </w:p>
    <w:p w14:paraId="29482D2A" w14:textId="77777777" w:rsidR="001E56E9" w:rsidRDefault="001E56E9" w:rsidP="001E56E9">
      <w:pPr>
        <w:pStyle w:val="NormalnyWeb"/>
        <w:spacing w:before="0" w:beforeAutospacing="0" w:after="0" w:line="360" w:lineRule="auto"/>
      </w:pPr>
    </w:p>
    <w:p w14:paraId="50F96B5D" w14:textId="77777777" w:rsidR="001E56E9" w:rsidRDefault="001E56E9" w:rsidP="001E56E9">
      <w:pPr>
        <w:pStyle w:val="NormalnyWeb"/>
        <w:spacing w:before="0" w:beforeAutospacing="0" w:after="0" w:line="360" w:lineRule="auto"/>
      </w:pPr>
      <w:r>
        <w:rPr>
          <w:rFonts w:ascii="Arial" w:hAnsi="Arial" w:cs="Arial"/>
          <w:sz w:val="22"/>
          <w:szCs w:val="22"/>
        </w:rPr>
        <w:t>§8</w:t>
      </w:r>
    </w:p>
    <w:p w14:paraId="0B98B717" w14:textId="77777777" w:rsidR="001E56E9" w:rsidRDefault="001E56E9" w:rsidP="001E56E9">
      <w:pPr>
        <w:pStyle w:val="NormalnyWeb"/>
        <w:numPr>
          <w:ilvl w:val="0"/>
          <w:numId w:val="12"/>
        </w:numPr>
        <w:spacing w:before="0" w:beforeAutospacing="0" w:after="0" w:line="360" w:lineRule="auto"/>
      </w:pPr>
      <w:r>
        <w:rPr>
          <w:rFonts w:ascii="Arial" w:hAnsi="Arial" w:cs="Arial"/>
          <w:sz w:val="22"/>
          <w:szCs w:val="22"/>
        </w:rPr>
        <w:t>Traci moc Uchwała nr 1 z dnia 15 czerwca 2021 r. w sprawie zasad kształtowania wynagrodzeń członków Zarządu Spółki, Uchwała nr 5 z dnia 15 lutego 2024 w sprawie zmiany uchwały nr 1 z dnia 15 czerwca 2021 r. w sprawie zasad kształtowania wynagrodzeń członków Zarządu Spółki oraz Uchwała nr 5 z dnia 10 maja 2024 r. w sprawie zmiany uchwały nr 1 z dnia 15 czerwca 2021 r. w sprawie zasad kształtowania wynagrodzeń członków Zarządu Spółki.</w:t>
      </w:r>
    </w:p>
    <w:p w14:paraId="7CB49AD5" w14:textId="77777777" w:rsidR="001E56E9" w:rsidRDefault="001E56E9" w:rsidP="001E56E9">
      <w:pPr>
        <w:pStyle w:val="NormalnyWeb"/>
        <w:numPr>
          <w:ilvl w:val="0"/>
          <w:numId w:val="12"/>
        </w:numPr>
        <w:spacing w:before="0" w:beforeAutospacing="0" w:after="0" w:line="360" w:lineRule="auto"/>
      </w:pPr>
      <w:bookmarkStart w:id="0" w:name="_Hlk159232112"/>
      <w:bookmarkEnd w:id="0"/>
      <w:r>
        <w:rPr>
          <w:rFonts w:ascii="Arial" w:hAnsi="Arial" w:cs="Arial"/>
          <w:sz w:val="22"/>
          <w:szCs w:val="22"/>
        </w:rPr>
        <w:t>Uchwała obowiązuje od dnia 01 stycznia 2025 roku.</w:t>
      </w:r>
    </w:p>
    <w:p w14:paraId="37A4E766" w14:textId="77777777" w:rsidR="001E56E9" w:rsidRDefault="001E56E9" w:rsidP="001E56E9">
      <w:pPr>
        <w:pStyle w:val="NormalnyWeb"/>
        <w:spacing w:before="0" w:beforeAutospacing="0" w:after="0" w:line="360" w:lineRule="auto"/>
      </w:pPr>
    </w:p>
    <w:p w14:paraId="7D926F6D" w14:textId="77777777" w:rsidR="001E56E9" w:rsidRDefault="001E56E9" w:rsidP="001E56E9">
      <w:pPr>
        <w:pStyle w:val="NormalnyWeb"/>
        <w:spacing w:before="0" w:beforeAutospacing="0" w:after="0" w:line="360" w:lineRule="auto"/>
      </w:pPr>
      <w:r>
        <w:rPr>
          <w:rFonts w:ascii="Arial" w:hAnsi="Arial" w:cs="Arial"/>
          <w:sz w:val="20"/>
          <w:szCs w:val="20"/>
        </w:rPr>
        <w:t>Obecnych: 12.848 udziałów</w:t>
      </w:r>
    </w:p>
    <w:p w14:paraId="75C995D7" w14:textId="77777777" w:rsidR="001E56E9" w:rsidRDefault="001E56E9" w:rsidP="001E56E9">
      <w:pPr>
        <w:pStyle w:val="NormalnyWeb"/>
        <w:spacing w:before="0" w:beforeAutospacing="0" w:after="0" w:line="360" w:lineRule="auto"/>
      </w:pPr>
      <w:r>
        <w:rPr>
          <w:rFonts w:ascii="Arial" w:hAnsi="Arial" w:cs="Arial"/>
          <w:sz w:val="20"/>
          <w:szCs w:val="20"/>
        </w:rPr>
        <w:t>Za uchwałą głosowało: 12.848 udziałów</w:t>
      </w:r>
    </w:p>
    <w:p w14:paraId="51865303" w14:textId="77777777" w:rsidR="001E56E9" w:rsidRDefault="001E56E9" w:rsidP="001E56E9">
      <w:pPr>
        <w:pStyle w:val="NormalnyWeb"/>
        <w:spacing w:before="0" w:beforeAutospacing="0" w:after="0" w:line="360" w:lineRule="auto"/>
      </w:pPr>
      <w:r>
        <w:rPr>
          <w:rFonts w:ascii="Arial" w:hAnsi="Arial" w:cs="Arial"/>
          <w:sz w:val="20"/>
          <w:szCs w:val="20"/>
        </w:rPr>
        <w:lastRenderedPageBreak/>
        <w:t>Przeciw uchwale głosowało: 0 udziałów</w:t>
      </w:r>
    </w:p>
    <w:p w14:paraId="292B8850" w14:textId="77777777" w:rsidR="001E56E9" w:rsidRDefault="001E56E9" w:rsidP="001E56E9">
      <w:pPr>
        <w:pStyle w:val="NormalnyWeb"/>
        <w:spacing w:before="0" w:beforeAutospacing="0" w:after="0" w:line="360" w:lineRule="auto"/>
      </w:pPr>
      <w:r>
        <w:rPr>
          <w:rFonts w:ascii="Arial" w:hAnsi="Arial" w:cs="Arial"/>
          <w:sz w:val="20"/>
          <w:szCs w:val="20"/>
        </w:rPr>
        <w:t>Wstrzymało się od głosu: 0 udziałów</w:t>
      </w:r>
    </w:p>
    <w:p w14:paraId="6A898B17" w14:textId="77777777" w:rsidR="00B41BEA" w:rsidRPr="001E56E9" w:rsidRDefault="00B41BEA" w:rsidP="001E56E9"/>
    <w:sectPr w:rsidR="00B41BEA" w:rsidRPr="001E5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D0F"/>
    <w:multiLevelType w:val="multilevel"/>
    <w:tmpl w:val="6F5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275C4"/>
    <w:multiLevelType w:val="multilevel"/>
    <w:tmpl w:val="74B6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25515"/>
    <w:multiLevelType w:val="multilevel"/>
    <w:tmpl w:val="C17A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86A5D"/>
    <w:multiLevelType w:val="hybridMultilevel"/>
    <w:tmpl w:val="D6F87D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A066FA7"/>
    <w:multiLevelType w:val="multilevel"/>
    <w:tmpl w:val="51B6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7246A"/>
    <w:multiLevelType w:val="multilevel"/>
    <w:tmpl w:val="8492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F6D31"/>
    <w:multiLevelType w:val="multilevel"/>
    <w:tmpl w:val="86B4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62AC1"/>
    <w:multiLevelType w:val="multilevel"/>
    <w:tmpl w:val="CC0A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45001C"/>
    <w:multiLevelType w:val="multilevel"/>
    <w:tmpl w:val="9CAA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F9799C"/>
    <w:multiLevelType w:val="multilevel"/>
    <w:tmpl w:val="46B4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386915"/>
    <w:multiLevelType w:val="multilevel"/>
    <w:tmpl w:val="3AE26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44D7B"/>
    <w:multiLevelType w:val="multilevel"/>
    <w:tmpl w:val="5A34D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D0766E"/>
    <w:multiLevelType w:val="multilevel"/>
    <w:tmpl w:val="3282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96699">
    <w:abstractNumId w:val="4"/>
  </w:num>
  <w:num w:numId="2" w16cid:durableId="316106362">
    <w:abstractNumId w:val="11"/>
  </w:num>
  <w:num w:numId="3" w16cid:durableId="1397439132">
    <w:abstractNumId w:val="1"/>
  </w:num>
  <w:num w:numId="4" w16cid:durableId="125245652">
    <w:abstractNumId w:val="8"/>
  </w:num>
  <w:num w:numId="5" w16cid:durableId="284234533">
    <w:abstractNumId w:val="5"/>
  </w:num>
  <w:num w:numId="6" w16cid:durableId="1772890607">
    <w:abstractNumId w:val="6"/>
  </w:num>
  <w:num w:numId="7" w16cid:durableId="759106829">
    <w:abstractNumId w:val="10"/>
  </w:num>
  <w:num w:numId="8" w16cid:durableId="644622102">
    <w:abstractNumId w:val="9"/>
  </w:num>
  <w:num w:numId="9" w16cid:durableId="1861235521">
    <w:abstractNumId w:val="2"/>
  </w:num>
  <w:num w:numId="10" w16cid:durableId="275020074">
    <w:abstractNumId w:val="12"/>
  </w:num>
  <w:num w:numId="11" w16cid:durableId="942080347">
    <w:abstractNumId w:val="0"/>
  </w:num>
  <w:num w:numId="12" w16cid:durableId="1046638983">
    <w:abstractNumId w:val="7"/>
  </w:num>
  <w:num w:numId="13" w16cid:durableId="82532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0E"/>
    <w:rsid w:val="000A3259"/>
    <w:rsid w:val="001E56E9"/>
    <w:rsid w:val="00692930"/>
    <w:rsid w:val="00A9470E"/>
    <w:rsid w:val="00AE7E4A"/>
    <w:rsid w:val="00B41BEA"/>
    <w:rsid w:val="00BA6C1C"/>
    <w:rsid w:val="00D408B9"/>
    <w:rsid w:val="00E4046B"/>
    <w:rsid w:val="00F75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46A3"/>
  <w15:chartTrackingRefBased/>
  <w15:docId w15:val="{889A3989-B756-4C7B-8963-755AC3D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947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947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9470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9470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9470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9470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470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470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470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470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9470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9470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9470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9470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9470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470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470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470E"/>
    <w:rPr>
      <w:rFonts w:eastAsiaTheme="majorEastAsia" w:cstheme="majorBidi"/>
      <w:color w:val="272727" w:themeColor="text1" w:themeTint="D8"/>
    </w:rPr>
  </w:style>
  <w:style w:type="paragraph" w:styleId="Tytu">
    <w:name w:val="Title"/>
    <w:basedOn w:val="Normalny"/>
    <w:next w:val="Normalny"/>
    <w:link w:val="TytuZnak"/>
    <w:uiPriority w:val="10"/>
    <w:qFormat/>
    <w:rsid w:val="00A94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470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470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470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470E"/>
    <w:pPr>
      <w:spacing w:before="160"/>
      <w:jc w:val="center"/>
    </w:pPr>
    <w:rPr>
      <w:i/>
      <w:iCs/>
      <w:color w:val="404040" w:themeColor="text1" w:themeTint="BF"/>
    </w:rPr>
  </w:style>
  <w:style w:type="character" w:customStyle="1" w:styleId="CytatZnak">
    <w:name w:val="Cytat Znak"/>
    <w:basedOn w:val="Domylnaczcionkaakapitu"/>
    <w:link w:val="Cytat"/>
    <w:uiPriority w:val="29"/>
    <w:rsid w:val="00A9470E"/>
    <w:rPr>
      <w:i/>
      <w:iCs/>
      <w:color w:val="404040" w:themeColor="text1" w:themeTint="BF"/>
    </w:rPr>
  </w:style>
  <w:style w:type="paragraph" w:styleId="Akapitzlist">
    <w:name w:val="List Paragraph"/>
    <w:basedOn w:val="Normalny"/>
    <w:uiPriority w:val="34"/>
    <w:qFormat/>
    <w:rsid w:val="00A9470E"/>
    <w:pPr>
      <w:ind w:left="720"/>
      <w:contextualSpacing/>
    </w:pPr>
  </w:style>
  <w:style w:type="character" w:styleId="Wyrnienieintensywne">
    <w:name w:val="Intense Emphasis"/>
    <w:basedOn w:val="Domylnaczcionkaakapitu"/>
    <w:uiPriority w:val="21"/>
    <w:qFormat/>
    <w:rsid w:val="00A9470E"/>
    <w:rPr>
      <w:i/>
      <w:iCs/>
      <w:color w:val="2F5496" w:themeColor="accent1" w:themeShade="BF"/>
    </w:rPr>
  </w:style>
  <w:style w:type="paragraph" w:styleId="Cytatintensywny">
    <w:name w:val="Intense Quote"/>
    <w:basedOn w:val="Normalny"/>
    <w:next w:val="Normalny"/>
    <w:link w:val="CytatintensywnyZnak"/>
    <w:uiPriority w:val="30"/>
    <w:qFormat/>
    <w:rsid w:val="00A94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9470E"/>
    <w:rPr>
      <w:i/>
      <w:iCs/>
      <w:color w:val="2F5496" w:themeColor="accent1" w:themeShade="BF"/>
    </w:rPr>
  </w:style>
  <w:style w:type="character" w:styleId="Odwoanieintensywne">
    <w:name w:val="Intense Reference"/>
    <w:basedOn w:val="Domylnaczcionkaakapitu"/>
    <w:uiPriority w:val="32"/>
    <w:qFormat/>
    <w:rsid w:val="00A9470E"/>
    <w:rPr>
      <w:b/>
      <w:bCs/>
      <w:smallCaps/>
      <w:color w:val="2F5496" w:themeColor="accent1" w:themeShade="BF"/>
      <w:spacing w:val="5"/>
    </w:rPr>
  </w:style>
  <w:style w:type="paragraph" w:styleId="NormalnyWeb">
    <w:name w:val="Normal (Web)"/>
    <w:basedOn w:val="Normalny"/>
    <w:uiPriority w:val="99"/>
    <w:semiHidden/>
    <w:unhideWhenUsed/>
    <w:rsid w:val="001E56E9"/>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9619">
      <w:bodyDiv w:val="1"/>
      <w:marLeft w:val="0"/>
      <w:marRight w:val="0"/>
      <w:marTop w:val="0"/>
      <w:marBottom w:val="0"/>
      <w:divBdr>
        <w:top w:val="none" w:sz="0" w:space="0" w:color="auto"/>
        <w:left w:val="none" w:sz="0" w:space="0" w:color="auto"/>
        <w:bottom w:val="none" w:sz="0" w:space="0" w:color="auto"/>
        <w:right w:val="none" w:sz="0" w:space="0" w:color="auto"/>
      </w:divBdr>
    </w:div>
    <w:div w:id="85669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1183</Words>
  <Characters>7104</Characters>
  <Application>Microsoft Office Word</Application>
  <DocSecurity>0</DocSecurity>
  <Lines>59</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Rduch</dc:creator>
  <cp:keywords/>
  <dc:description/>
  <cp:lastModifiedBy>Zuzanna Rduch</cp:lastModifiedBy>
  <cp:revision>4</cp:revision>
  <dcterms:created xsi:type="dcterms:W3CDTF">2025-02-25T07:55:00Z</dcterms:created>
  <dcterms:modified xsi:type="dcterms:W3CDTF">2025-02-25T08:22:00Z</dcterms:modified>
</cp:coreProperties>
</file>